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6C089" w14:textId="11159A65" w:rsidR="00917F5F" w:rsidRPr="00917F5F" w:rsidRDefault="00917F5F" w:rsidP="00917F5F">
      <w:pPr>
        <w:rPr>
          <w:i/>
          <w:iCs/>
        </w:rPr>
      </w:pPr>
      <w:r>
        <w:rPr>
          <w:i/>
          <w:iCs/>
        </w:rPr>
        <w:t xml:space="preserve">Background and </w:t>
      </w:r>
      <w:proofErr w:type="spellStart"/>
      <w:r>
        <w:rPr>
          <w:i/>
          <w:iCs/>
        </w:rPr>
        <w:t>MiND</w:t>
      </w:r>
      <w:proofErr w:type="spellEnd"/>
      <w:r>
        <w:rPr>
          <w:i/>
          <w:iCs/>
        </w:rPr>
        <w:t xml:space="preserve"> Lab Contribution </w:t>
      </w:r>
    </w:p>
    <w:p w14:paraId="05DD1982" w14:textId="65DFCFB7" w:rsidR="00917F5F" w:rsidRPr="00917F5F" w:rsidRDefault="00917F5F" w:rsidP="00917F5F">
      <w:r w:rsidRPr="00917F5F">
        <w:t>Rett syndrome (RTT) is a rare neurodevelopmental disorder with devastating impact both on patients and their family’s lives, with no cure at present. After a pre- and perinatal period of apparently normal development, RTT patients show stagnation with regression of motor, autonomic and cognitive skills. The disease represents the second most common genetic cause of intellectual disability in girls.</w:t>
      </w:r>
    </w:p>
    <w:p w14:paraId="3C33A124" w14:textId="3649FDC4" w:rsidR="003E5BFB" w:rsidRDefault="00917F5F" w:rsidP="00917F5F">
      <w:r w:rsidRPr="00917F5F">
        <w:t xml:space="preserve">In 1999, </w:t>
      </w:r>
      <w:r w:rsidRPr="003E2951">
        <w:rPr>
          <w:i/>
          <w:iCs/>
        </w:rPr>
        <w:t>MECP2</w:t>
      </w:r>
      <w:r w:rsidRPr="00917F5F">
        <w:t xml:space="preserve"> was identified as the gene that causes Rett syndrome. In 2004, we reported the identification of a new isoform of MECP2, referred to as MECP2_E</w:t>
      </w:r>
      <w:r w:rsidR="00FF087F">
        <w:t>1</w:t>
      </w:r>
      <w:r w:rsidRPr="00917F5F">
        <w:t>, which</w:t>
      </w:r>
      <w:r w:rsidR="00FF087F">
        <w:t>, while it is very similar to the earlier discovered E2 isoform,</w:t>
      </w:r>
      <w:r w:rsidRPr="00917F5F">
        <w:t xml:space="preserve"> </w:t>
      </w:r>
      <w:r w:rsidR="00FF087F">
        <w:t xml:space="preserve">is </w:t>
      </w:r>
      <w:r w:rsidR="003E2951">
        <w:t>thought</w:t>
      </w:r>
      <w:r w:rsidR="00FF087F">
        <w:t xml:space="preserve"> to be</w:t>
      </w:r>
      <w:r w:rsidRPr="00917F5F">
        <w:t xml:space="preserve"> the disease-relevant form of the gene</w:t>
      </w:r>
      <w:r w:rsidR="00FF087F">
        <w:t xml:space="preserve"> because it is the abundant isoform expressed in the brain</w:t>
      </w:r>
      <w:r w:rsidR="00DF6995">
        <w:rPr>
          <w:vertAlign w:val="superscript"/>
        </w:rPr>
        <w:t>1</w:t>
      </w:r>
      <w:r w:rsidRPr="00917F5F">
        <w:t>. This study also reported the first ever R</w:t>
      </w:r>
      <w:r w:rsidR="003E2951">
        <w:t>TT</w:t>
      </w:r>
      <w:r w:rsidRPr="00917F5F">
        <w:t xml:space="preserve"> patient identified with a disease-causing mutation in exon </w:t>
      </w:r>
      <w:r w:rsidR="00A9531B">
        <w:t xml:space="preserve">1 – </w:t>
      </w:r>
      <w:r w:rsidRPr="00917F5F">
        <w:t>an 11bp deletion</w:t>
      </w:r>
      <w:r w:rsidR="00A9531B">
        <w:t xml:space="preserve">. </w:t>
      </w:r>
      <w:r w:rsidR="000304F2">
        <w:t>We also showed that a single amino acid mutation specific to the E1 isoform</w:t>
      </w:r>
      <w:r w:rsidR="003E2951">
        <w:t>, Ala2Val</w:t>
      </w:r>
      <w:r w:rsidR="000304F2">
        <w:t xml:space="preserve"> affects the turnover</w:t>
      </w:r>
      <w:r w:rsidR="003E2951">
        <w:t xml:space="preserve"> (i.e. degradation)</w:t>
      </w:r>
      <w:r w:rsidR="000304F2">
        <w:t xml:space="preserve"> rate of the protein</w:t>
      </w:r>
      <w:r w:rsidR="00DF6995">
        <w:rPr>
          <w:vertAlign w:val="superscript"/>
        </w:rPr>
        <w:t>2</w:t>
      </w:r>
      <w:r w:rsidR="000304F2">
        <w:t>. No MeCP2 E2-specific RTT-causing mutations have been identified to date.</w:t>
      </w:r>
    </w:p>
    <w:p w14:paraId="72167065" w14:textId="5DCDF88C" w:rsidR="00917F5F" w:rsidRDefault="00FF087F" w:rsidP="00FF087F">
      <w:pPr>
        <w:jc w:val="center"/>
        <w:rPr>
          <w:rFonts w:eastAsia="Times New Roman" w:cs="Times New Roman"/>
          <w:kern w:val="0"/>
          <w:szCs w:val="24"/>
          <w:lang w:eastAsia="en-CA"/>
          <w14:ligatures w14:val="none"/>
        </w:rPr>
      </w:pPr>
      <w:r>
        <w:rPr>
          <w:rFonts w:eastAsia="Times New Roman" w:cs="Times New Roman"/>
          <w:noProof/>
          <w:kern w:val="0"/>
          <w:szCs w:val="24"/>
          <w:lang w:eastAsia="en-CA"/>
          <w14:ligatures w14:val="none"/>
        </w:rPr>
        <w:drawing>
          <wp:inline distT="0" distB="0" distL="0" distR="0" wp14:anchorId="7B4E69BD" wp14:editId="4333076E">
            <wp:extent cx="7115118" cy="3329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109" t="20821" r="6327" b="45552"/>
                    <a:stretch/>
                  </pic:blipFill>
                  <pic:spPr bwMode="auto">
                    <a:xfrm>
                      <a:off x="0" y="0"/>
                      <a:ext cx="7116755" cy="3330071"/>
                    </a:xfrm>
                    <a:prstGeom prst="rect">
                      <a:avLst/>
                    </a:prstGeom>
                    <a:noFill/>
                    <a:ln>
                      <a:noFill/>
                    </a:ln>
                    <a:extLst>
                      <a:ext uri="{53640926-AAD7-44D8-BBD7-CCE9431645EC}">
                        <a14:shadowObscured xmlns:a14="http://schemas.microsoft.com/office/drawing/2010/main"/>
                      </a:ext>
                    </a:extLst>
                  </pic:spPr>
                </pic:pic>
              </a:graphicData>
            </a:graphic>
          </wp:inline>
        </w:drawing>
      </w:r>
    </w:p>
    <w:p w14:paraId="781F9AA8" w14:textId="1F3CBFF5" w:rsidR="003E5BFB" w:rsidRPr="002621D6" w:rsidRDefault="002621D6" w:rsidP="00FF087F">
      <w:pPr>
        <w:jc w:val="center"/>
        <w:rPr>
          <w:rFonts w:eastAsia="Times New Roman" w:cs="Times New Roman"/>
          <w:kern w:val="0"/>
          <w:sz w:val="18"/>
          <w:szCs w:val="20"/>
          <w:lang w:eastAsia="en-CA"/>
          <w14:ligatures w14:val="none"/>
        </w:rPr>
      </w:pPr>
      <w:r w:rsidRPr="002621D6">
        <w:rPr>
          <w:rFonts w:eastAsia="Times New Roman" w:cs="Times New Roman"/>
          <w:kern w:val="0"/>
          <w:sz w:val="18"/>
          <w:szCs w:val="20"/>
          <w:lang w:eastAsia="en-CA"/>
          <w14:ligatures w14:val="none"/>
        </w:rPr>
        <w:t>MeCP2</w:t>
      </w:r>
      <w:r w:rsidR="00FF087F">
        <w:rPr>
          <w:rFonts w:eastAsia="Times New Roman" w:cs="Times New Roman"/>
          <w:kern w:val="0"/>
          <w:sz w:val="18"/>
          <w:szCs w:val="20"/>
          <w:lang w:eastAsia="en-CA"/>
          <w14:ligatures w14:val="none"/>
        </w:rPr>
        <w:t xml:space="preserve"> genetic structure and</w:t>
      </w:r>
      <w:r w:rsidRPr="002621D6">
        <w:rPr>
          <w:rFonts w:eastAsia="Times New Roman" w:cs="Times New Roman"/>
          <w:kern w:val="0"/>
          <w:sz w:val="18"/>
          <w:szCs w:val="20"/>
          <w:lang w:eastAsia="en-CA"/>
          <w14:ligatures w14:val="none"/>
        </w:rPr>
        <w:t xml:space="preserve"> E1 and E2 protein</w:t>
      </w:r>
      <w:r w:rsidR="00FF087F">
        <w:rPr>
          <w:rFonts w:eastAsia="Times New Roman" w:cs="Times New Roman"/>
          <w:kern w:val="0"/>
          <w:sz w:val="18"/>
          <w:szCs w:val="20"/>
          <w:lang w:eastAsia="en-CA"/>
          <w14:ligatures w14:val="none"/>
        </w:rPr>
        <w:t xml:space="preserve"> isoforms</w:t>
      </w:r>
      <w:r w:rsidRPr="002621D6">
        <w:rPr>
          <w:rFonts w:eastAsia="Times New Roman" w:cs="Times New Roman"/>
          <w:kern w:val="0"/>
          <w:sz w:val="18"/>
          <w:szCs w:val="20"/>
          <w:lang w:eastAsia="en-CA"/>
          <w14:ligatures w14:val="none"/>
        </w:rPr>
        <w:t xml:space="preserve"> domains.</w:t>
      </w:r>
      <w:r w:rsidR="00FF087F">
        <w:rPr>
          <w:rFonts w:eastAsia="Times New Roman" w:cs="Times New Roman"/>
          <w:kern w:val="0"/>
          <w:sz w:val="18"/>
          <w:szCs w:val="20"/>
          <w:lang w:eastAsia="en-CA"/>
          <w14:ligatures w14:val="none"/>
        </w:rPr>
        <w:t xml:space="preserve"> EX: exon, UTR: untranslated region, TGA: stop codon, </w:t>
      </w:r>
      <w:proofErr w:type="spellStart"/>
      <w:r w:rsidR="00FF087F">
        <w:rPr>
          <w:rFonts w:eastAsia="Times New Roman" w:cs="Times New Roman"/>
          <w:kern w:val="0"/>
          <w:sz w:val="18"/>
          <w:szCs w:val="20"/>
          <w:lang w:eastAsia="en-CA"/>
          <w14:ligatures w14:val="none"/>
        </w:rPr>
        <w:t>pA</w:t>
      </w:r>
      <w:proofErr w:type="spellEnd"/>
      <w:r w:rsidR="00FF087F">
        <w:rPr>
          <w:rFonts w:eastAsia="Times New Roman" w:cs="Times New Roman"/>
          <w:kern w:val="0"/>
          <w:sz w:val="18"/>
          <w:szCs w:val="20"/>
          <w:lang w:eastAsia="en-CA"/>
          <w14:ligatures w14:val="none"/>
        </w:rPr>
        <w:t>: polyadenylation, NTD: N-terminal domain, MBD: methyl CpG DNA binding domain, ID: intervening domain, TRD: transcriptional repression domain, NID: NCoR Interaction Domain, CTD: C-terminal domain.</w:t>
      </w:r>
      <w:r w:rsidRPr="002621D6">
        <w:rPr>
          <w:rFonts w:eastAsia="Times New Roman" w:cs="Times New Roman"/>
          <w:kern w:val="0"/>
          <w:sz w:val="18"/>
          <w:szCs w:val="20"/>
          <w:lang w:eastAsia="en-CA"/>
          <w14:ligatures w14:val="none"/>
        </w:rPr>
        <w:t xml:space="preserve"> </w:t>
      </w:r>
      <w:r w:rsidR="003E5BFB" w:rsidRPr="002621D6">
        <w:rPr>
          <w:rFonts w:eastAsia="Times New Roman" w:cs="Times New Roman"/>
          <w:kern w:val="0"/>
          <w:sz w:val="18"/>
          <w:szCs w:val="20"/>
          <w:lang w:eastAsia="en-CA"/>
          <w14:ligatures w14:val="none"/>
        </w:rPr>
        <w:t>Adapted from Good et al., 2026 (submitted).</w:t>
      </w:r>
    </w:p>
    <w:p w14:paraId="11F56A76" w14:textId="65C0609A" w:rsidR="00ED2369" w:rsidRDefault="00ED2369" w:rsidP="00ED2369">
      <w:pPr>
        <w:rPr>
          <w:rFonts w:eastAsia="Times New Roman" w:cs="Times New Roman"/>
          <w:kern w:val="0"/>
          <w:szCs w:val="24"/>
          <w:lang w:eastAsia="en-CA"/>
          <w14:ligatures w14:val="none"/>
        </w:rPr>
      </w:pPr>
      <w:r>
        <w:rPr>
          <w:rFonts w:eastAsia="Times New Roman" w:cs="Times New Roman"/>
          <w:kern w:val="0"/>
          <w:szCs w:val="24"/>
          <w:lang w:eastAsia="en-CA"/>
          <w14:ligatures w14:val="none"/>
        </w:rPr>
        <w:t xml:space="preserve">In addition to typical Rett Syndrome, MeCP2 mutations have been reported in </w:t>
      </w:r>
      <w:r w:rsidRPr="00276DFA">
        <w:rPr>
          <w:rFonts w:eastAsia="Times New Roman" w:cs="Times New Roman"/>
          <w:kern w:val="0"/>
          <w:szCs w:val="24"/>
          <w:lang w:eastAsia="en-CA"/>
          <w14:ligatures w14:val="none"/>
        </w:rPr>
        <w:t>autism spectrum disorders (ASD), schizophrenia (SCZ), and intellectual disability (ID)</w:t>
      </w:r>
      <w:r w:rsidR="000304F2">
        <w:rPr>
          <w:rFonts w:eastAsia="Times New Roman" w:cs="Times New Roman"/>
          <w:kern w:val="0"/>
          <w:szCs w:val="24"/>
          <w:lang w:eastAsia="en-CA"/>
          <w14:ligatures w14:val="none"/>
        </w:rPr>
        <w:t>, and the severity of symptoms can generally be attributed to the location of the mutation on the gene/ protein</w:t>
      </w:r>
      <w:r w:rsidRPr="00276DFA">
        <w:rPr>
          <w:rFonts w:eastAsia="Times New Roman" w:cs="Times New Roman"/>
          <w:kern w:val="0"/>
          <w:szCs w:val="24"/>
          <w:lang w:eastAsia="en-CA"/>
          <w14:ligatures w14:val="none"/>
        </w:rPr>
        <w:t xml:space="preserve">. </w:t>
      </w:r>
      <w:r>
        <w:rPr>
          <w:rFonts w:eastAsia="Times New Roman" w:cs="Times New Roman"/>
          <w:kern w:val="0"/>
          <w:szCs w:val="24"/>
          <w:lang w:eastAsia="en-CA"/>
          <w14:ligatures w14:val="none"/>
        </w:rPr>
        <w:t>To this end, our lab</w:t>
      </w:r>
      <w:r w:rsidR="00912EC1">
        <w:rPr>
          <w:rFonts w:eastAsia="Times New Roman" w:cs="Times New Roman"/>
          <w:kern w:val="0"/>
          <w:szCs w:val="24"/>
          <w:lang w:eastAsia="en-CA"/>
          <w14:ligatures w14:val="none"/>
        </w:rPr>
        <w:t xml:space="preserve"> has characterized the functional change caused by mutations that cause disparate phenotypes</w:t>
      </w:r>
      <w:r w:rsidR="00DF6995">
        <w:rPr>
          <w:rFonts w:eastAsia="Times New Roman" w:cs="Times New Roman"/>
          <w:kern w:val="0"/>
          <w:szCs w:val="24"/>
          <w:vertAlign w:val="superscript"/>
          <w:lang w:eastAsia="en-CA"/>
          <w14:ligatures w14:val="none"/>
        </w:rPr>
        <w:t>3</w:t>
      </w:r>
      <w:r w:rsidR="00912EC1">
        <w:rPr>
          <w:rFonts w:eastAsia="Times New Roman" w:cs="Times New Roman"/>
          <w:kern w:val="0"/>
          <w:szCs w:val="24"/>
          <w:lang w:eastAsia="en-CA"/>
          <w14:ligatures w14:val="none"/>
        </w:rPr>
        <w:t>, and later</w:t>
      </w:r>
      <w:r>
        <w:rPr>
          <w:rFonts w:eastAsia="Times New Roman" w:cs="Times New Roman"/>
          <w:kern w:val="0"/>
          <w:szCs w:val="24"/>
          <w:lang w:eastAsia="en-CA"/>
          <w14:ligatures w14:val="none"/>
        </w:rPr>
        <w:t xml:space="preserve"> </w:t>
      </w:r>
      <w:r w:rsidR="000304F2">
        <w:rPr>
          <w:rFonts w:eastAsia="Times New Roman" w:cs="Times New Roman"/>
          <w:kern w:val="0"/>
          <w:szCs w:val="24"/>
          <w:lang w:eastAsia="en-CA"/>
          <w14:ligatures w14:val="none"/>
        </w:rPr>
        <w:t>identified mutations</w:t>
      </w:r>
      <w:r>
        <w:rPr>
          <w:rFonts w:eastAsia="Times New Roman" w:cs="Times New Roman"/>
          <w:kern w:val="0"/>
          <w:szCs w:val="24"/>
          <w:lang w:eastAsia="en-CA"/>
          <w14:ligatures w14:val="none"/>
        </w:rPr>
        <w:t xml:space="preserve"> within an AT-hook in the ID of the protein (which facilitates DNA binding by interacting with AT-rich DNA) </w:t>
      </w:r>
      <w:r w:rsidR="000304F2">
        <w:rPr>
          <w:rFonts w:eastAsia="Times New Roman" w:cs="Times New Roman"/>
          <w:kern w:val="0"/>
          <w:szCs w:val="24"/>
          <w:lang w:eastAsia="en-CA"/>
          <w14:ligatures w14:val="none"/>
        </w:rPr>
        <w:t>that were associated with patients with child onset cognitive decline and schizophrenia</w:t>
      </w:r>
      <w:r w:rsidR="00DF6995">
        <w:rPr>
          <w:rFonts w:eastAsia="Times New Roman" w:cs="Times New Roman"/>
          <w:kern w:val="0"/>
          <w:szCs w:val="24"/>
          <w:vertAlign w:val="superscript"/>
          <w:lang w:eastAsia="en-CA"/>
          <w14:ligatures w14:val="none"/>
        </w:rPr>
        <w:t>4</w:t>
      </w:r>
      <w:r w:rsidR="00912EC1">
        <w:rPr>
          <w:rFonts w:eastAsia="Times New Roman" w:cs="Times New Roman"/>
          <w:kern w:val="0"/>
          <w:szCs w:val="24"/>
          <w:lang w:eastAsia="en-CA"/>
          <w14:ligatures w14:val="none"/>
        </w:rPr>
        <w:t>. W</w:t>
      </w:r>
      <w:r w:rsidR="000304F2">
        <w:rPr>
          <w:rFonts w:eastAsia="Times New Roman" w:cs="Times New Roman"/>
          <w:kern w:val="0"/>
          <w:szCs w:val="24"/>
          <w:lang w:eastAsia="en-CA"/>
          <w14:ligatures w14:val="none"/>
        </w:rPr>
        <w:t xml:space="preserve">e further characterized the reduced DNA-binding </w:t>
      </w:r>
      <w:r w:rsidR="000304F2">
        <w:rPr>
          <w:rFonts w:eastAsia="Times New Roman" w:cs="Times New Roman"/>
          <w:kern w:val="0"/>
          <w:szCs w:val="24"/>
          <w:lang w:eastAsia="en-CA"/>
          <w14:ligatures w14:val="none"/>
        </w:rPr>
        <w:lastRenderedPageBreak/>
        <w:t xml:space="preserve">functionality caused by these mutations. This work exemplifies a core aim of the Vincent lab – </w:t>
      </w:r>
      <w:r w:rsidR="00912EC1">
        <w:rPr>
          <w:rFonts w:eastAsia="Times New Roman" w:cs="Times New Roman"/>
          <w:kern w:val="0"/>
          <w:szCs w:val="24"/>
          <w:lang w:eastAsia="en-CA"/>
          <w14:ligatures w14:val="none"/>
        </w:rPr>
        <w:t xml:space="preserve">to characterize pathogenic neuropsychiatric mutations at the gene and protein levels to expand our knowledge of their cause and to find potential areas of therapeutic targeting to resolve their protein dysfunction. </w:t>
      </w:r>
    </w:p>
    <w:p w14:paraId="1B89A820" w14:textId="0F01EB9D" w:rsidR="00ED2369" w:rsidRPr="00ED2369" w:rsidRDefault="00ED2369" w:rsidP="00917F5F">
      <w:pPr>
        <w:rPr>
          <w:rFonts w:eastAsia="Times New Roman" w:cs="Times New Roman"/>
          <w:kern w:val="0"/>
          <w:szCs w:val="24"/>
          <w:lang w:eastAsia="en-CA"/>
          <w14:ligatures w14:val="none"/>
        </w:rPr>
      </w:pPr>
    </w:p>
    <w:p w14:paraId="0A75A972" w14:textId="3F96E987" w:rsidR="00917F5F" w:rsidRPr="00917F5F" w:rsidRDefault="00917F5F" w:rsidP="00917F5F">
      <w:pPr>
        <w:rPr>
          <w:rFonts w:eastAsia="Times New Roman" w:cs="Times New Roman"/>
          <w:i/>
          <w:iCs/>
          <w:kern w:val="0"/>
          <w:szCs w:val="24"/>
          <w:lang w:eastAsia="en-CA"/>
          <w14:ligatures w14:val="none"/>
        </w:rPr>
      </w:pPr>
      <w:r>
        <w:rPr>
          <w:rFonts w:eastAsia="Times New Roman" w:cs="Times New Roman"/>
          <w:i/>
          <w:iCs/>
          <w:kern w:val="0"/>
          <w:szCs w:val="24"/>
          <w:lang w:eastAsia="en-CA"/>
          <w14:ligatures w14:val="none"/>
        </w:rPr>
        <w:t xml:space="preserve">Current </w:t>
      </w:r>
      <w:proofErr w:type="spellStart"/>
      <w:r>
        <w:rPr>
          <w:rFonts w:eastAsia="Times New Roman" w:cs="Times New Roman"/>
          <w:i/>
          <w:iCs/>
          <w:kern w:val="0"/>
          <w:szCs w:val="24"/>
          <w:lang w:eastAsia="en-CA"/>
          <w14:ligatures w14:val="none"/>
        </w:rPr>
        <w:t>MiND</w:t>
      </w:r>
      <w:proofErr w:type="spellEnd"/>
      <w:r>
        <w:rPr>
          <w:rFonts w:eastAsia="Times New Roman" w:cs="Times New Roman"/>
          <w:i/>
          <w:iCs/>
          <w:kern w:val="0"/>
          <w:szCs w:val="24"/>
          <w:lang w:eastAsia="en-CA"/>
          <w14:ligatures w14:val="none"/>
        </w:rPr>
        <w:t xml:space="preserve"> Lab Research</w:t>
      </w:r>
    </w:p>
    <w:p w14:paraId="6FEDC47F" w14:textId="1FB90BBE" w:rsidR="003E5BFB" w:rsidRDefault="00917F5F" w:rsidP="00917F5F">
      <w:pPr>
        <w:ind w:firstLine="720"/>
        <w:rPr>
          <w:rFonts w:eastAsia="Times New Roman" w:cs="Times New Roman"/>
          <w:kern w:val="0"/>
          <w:szCs w:val="24"/>
          <w:lang w:eastAsia="en-CA"/>
          <w14:ligatures w14:val="none"/>
        </w:rPr>
      </w:pPr>
      <w:r>
        <w:rPr>
          <w:rFonts w:eastAsia="Times New Roman" w:cs="Times New Roman"/>
          <w:kern w:val="0"/>
          <w:szCs w:val="24"/>
          <w:lang w:eastAsia="en-CA"/>
          <w14:ligatures w14:val="none"/>
        </w:rPr>
        <w:t xml:space="preserve">Several loss-of-function MeCP2 mutations destabilize </w:t>
      </w:r>
      <w:r w:rsidR="002621D6">
        <w:rPr>
          <w:rFonts w:eastAsia="Times New Roman" w:cs="Times New Roman"/>
          <w:kern w:val="0"/>
          <w:szCs w:val="24"/>
          <w:lang w:eastAsia="en-CA"/>
          <w14:ligatures w14:val="none"/>
        </w:rPr>
        <w:t>its</w:t>
      </w:r>
      <w:r>
        <w:rPr>
          <w:rFonts w:eastAsia="Times New Roman" w:cs="Times New Roman"/>
          <w:kern w:val="0"/>
          <w:szCs w:val="24"/>
          <w:lang w:eastAsia="en-CA"/>
          <w14:ligatures w14:val="none"/>
        </w:rPr>
        <w:t xml:space="preserve"> protein structure</w:t>
      </w:r>
      <w:r w:rsidR="00F0451E">
        <w:rPr>
          <w:rFonts w:eastAsia="Times New Roman" w:cs="Times New Roman"/>
          <w:kern w:val="0"/>
          <w:szCs w:val="24"/>
          <w:lang w:eastAsia="en-CA"/>
          <w14:ligatures w14:val="none"/>
        </w:rPr>
        <w:t>,</w:t>
      </w:r>
      <w:r>
        <w:rPr>
          <w:rFonts w:eastAsia="Times New Roman" w:cs="Times New Roman"/>
          <w:kern w:val="0"/>
          <w:szCs w:val="24"/>
          <w:lang w:eastAsia="en-CA"/>
          <w14:ligatures w14:val="none"/>
        </w:rPr>
        <w:t xml:space="preserve"> which</w:t>
      </w:r>
      <w:r w:rsidR="002621D6">
        <w:rPr>
          <w:rFonts w:eastAsia="Times New Roman" w:cs="Times New Roman"/>
          <w:kern w:val="0"/>
          <w:szCs w:val="24"/>
          <w:lang w:eastAsia="en-CA"/>
          <w14:ligatures w14:val="none"/>
        </w:rPr>
        <w:t xml:space="preserve"> not only</w:t>
      </w:r>
      <w:r>
        <w:rPr>
          <w:rFonts w:eastAsia="Times New Roman" w:cs="Times New Roman"/>
          <w:kern w:val="0"/>
          <w:szCs w:val="24"/>
          <w:lang w:eastAsia="en-CA"/>
          <w14:ligatures w14:val="none"/>
        </w:rPr>
        <w:t xml:space="preserve"> inhibits its function, but also results in targeted degradation</w:t>
      </w:r>
      <w:r w:rsidR="002621D6">
        <w:rPr>
          <w:rFonts w:eastAsia="Times New Roman" w:cs="Times New Roman"/>
          <w:kern w:val="0"/>
          <w:szCs w:val="24"/>
          <w:lang w:eastAsia="en-CA"/>
          <w14:ligatures w14:val="none"/>
        </w:rPr>
        <w:t xml:space="preserve"> and reduced protein levels</w:t>
      </w:r>
      <w:r>
        <w:rPr>
          <w:rFonts w:eastAsia="Times New Roman" w:cs="Times New Roman"/>
          <w:kern w:val="0"/>
          <w:szCs w:val="24"/>
          <w:lang w:eastAsia="en-CA"/>
          <w14:ligatures w14:val="none"/>
        </w:rPr>
        <w:t>. E</w:t>
      </w:r>
      <w:r w:rsidRPr="00276DFA">
        <w:rPr>
          <w:rFonts w:eastAsia="Times New Roman" w:cs="Times New Roman"/>
          <w:kern w:val="0"/>
          <w:szCs w:val="24"/>
          <w:lang w:eastAsia="en-CA"/>
          <w14:ligatures w14:val="none"/>
        </w:rPr>
        <w:t xml:space="preserve">xogenous expression of </w:t>
      </w:r>
      <w:r w:rsidR="002621D6">
        <w:rPr>
          <w:rFonts w:eastAsia="Times New Roman" w:cs="Times New Roman"/>
          <w:kern w:val="0"/>
          <w:szCs w:val="24"/>
          <w:lang w:eastAsia="en-CA"/>
          <w14:ligatures w14:val="none"/>
        </w:rPr>
        <w:t>a</w:t>
      </w:r>
      <w:r>
        <w:rPr>
          <w:rFonts w:eastAsia="Times New Roman" w:cs="Times New Roman"/>
          <w:kern w:val="0"/>
          <w:szCs w:val="24"/>
          <w:lang w:eastAsia="en-CA"/>
          <w14:ligatures w14:val="none"/>
        </w:rPr>
        <w:t xml:space="preserve"> mutant form of</w:t>
      </w:r>
      <w:r w:rsidRPr="00276DFA">
        <w:rPr>
          <w:rFonts w:eastAsia="Times New Roman" w:cs="Times New Roman"/>
          <w:kern w:val="0"/>
          <w:szCs w:val="24"/>
          <w:lang w:eastAsia="en-CA"/>
          <w14:ligatures w14:val="none"/>
        </w:rPr>
        <w:t xml:space="preserve"> MeCP2 in mice </w:t>
      </w:r>
      <w:r>
        <w:rPr>
          <w:rFonts w:eastAsia="Times New Roman" w:cs="Times New Roman"/>
          <w:kern w:val="0"/>
          <w:szCs w:val="24"/>
          <w:lang w:eastAsia="en-CA"/>
          <w14:ligatures w14:val="none"/>
        </w:rPr>
        <w:t xml:space="preserve">alleviates </w:t>
      </w:r>
      <w:r w:rsidRPr="00276DFA">
        <w:rPr>
          <w:rFonts w:eastAsia="Times New Roman" w:cs="Times New Roman"/>
          <w:kern w:val="0"/>
          <w:szCs w:val="24"/>
          <w:lang w:eastAsia="en-CA"/>
          <w14:ligatures w14:val="none"/>
        </w:rPr>
        <w:t>RTT phenotypes</w:t>
      </w:r>
      <w:r w:rsidR="007E6FF3">
        <w:rPr>
          <w:rFonts w:eastAsia="Times New Roman" w:cs="Times New Roman"/>
          <w:kern w:val="0"/>
          <w:szCs w:val="24"/>
          <w:vertAlign w:val="superscript"/>
          <w:lang w:eastAsia="en-CA"/>
          <w14:ligatures w14:val="none"/>
        </w:rPr>
        <w:t>5</w:t>
      </w:r>
      <w:r w:rsidRPr="00276DFA">
        <w:rPr>
          <w:rFonts w:eastAsia="Times New Roman" w:cs="Times New Roman"/>
          <w:kern w:val="0"/>
          <w:szCs w:val="24"/>
          <w:lang w:eastAsia="en-CA"/>
          <w14:ligatures w14:val="none"/>
        </w:rPr>
        <w:t>, suggesting</w:t>
      </w:r>
      <w:r w:rsidR="003E5BFB">
        <w:rPr>
          <w:rFonts w:eastAsia="Times New Roman" w:cs="Times New Roman"/>
          <w:kern w:val="0"/>
          <w:szCs w:val="24"/>
          <w:lang w:eastAsia="en-CA"/>
          <w14:ligatures w14:val="none"/>
        </w:rPr>
        <w:t xml:space="preserve"> that</w:t>
      </w:r>
      <w:r>
        <w:rPr>
          <w:rFonts w:eastAsia="Times New Roman" w:cs="Times New Roman"/>
          <w:kern w:val="0"/>
          <w:szCs w:val="24"/>
          <w:lang w:eastAsia="en-CA"/>
          <w14:ligatures w14:val="none"/>
        </w:rPr>
        <w:t xml:space="preserve"> </w:t>
      </w:r>
      <w:r w:rsidR="002621D6">
        <w:rPr>
          <w:rFonts w:eastAsia="Times New Roman" w:cs="Times New Roman"/>
          <w:kern w:val="0"/>
          <w:szCs w:val="24"/>
          <w:lang w:eastAsia="en-CA"/>
          <w14:ligatures w14:val="none"/>
        </w:rPr>
        <w:t>MeCP2</w:t>
      </w:r>
      <w:r w:rsidRPr="00276DFA">
        <w:rPr>
          <w:rFonts w:eastAsia="Times New Roman" w:cs="Times New Roman"/>
          <w:kern w:val="0"/>
          <w:szCs w:val="24"/>
          <w:lang w:eastAsia="en-CA"/>
          <w14:ligatures w14:val="none"/>
        </w:rPr>
        <w:t xml:space="preserve"> </w:t>
      </w:r>
      <w:r>
        <w:rPr>
          <w:rFonts w:eastAsia="Times New Roman" w:cs="Times New Roman"/>
          <w:kern w:val="0"/>
          <w:szCs w:val="24"/>
          <w:lang w:eastAsia="en-CA"/>
          <w14:ligatures w14:val="none"/>
        </w:rPr>
        <w:t xml:space="preserve">protein </w:t>
      </w:r>
      <w:r w:rsidR="002621D6">
        <w:rPr>
          <w:rFonts w:eastAsia="Times New Roman" w:cs="Times New Roman"/>
          <w:kern w:val="0"/>
          <w:szCs w:val="24"/>
          <w:lang w:eastAsia="en-CA"/>
          <w14:ligatures w14:val="none"/>
        </w:rPr>
        <w:t>abundance is</w:t>
      </w:r>
      <w:r w:rsidRPr="00276DFA">
        <w:rPr>
          <w:rFonts w:eastAsia="Times New Roman" w:cs="Times New Roman"/>
          <w:kern w:val="0"/>
          <w:szCs w:val="24"/>
          <w:lang w:eastAsia="en-CA"/>
          <w14:ligatures w14:val="none"/>
        </w:rPr>
        <w:t xml:space="preserve"> </w:t>
      </w:r>
      <w:r>
        <w:rPr>
          <w:rFonts w:eastAsia="Times New Roman" w:cs="Times New Roman"/>
          <w:kern w:val="0"/>
          <w:szCs w:val="24"/>
          <w:lang w:eastAsia="en-CA"/>
          <w14:ligatures w14:val="none"/>
        </w:rPr>
        <w:t>critical for</w:t>
      </w:r>
      <w:r w:rsidRPr="00276DFA">
        <w:rPr>
          <w:rFonts w:eastAsia="Times New Roman" w:cs="Times New Roman"/>
          <w:kern w:val="0"/>
          <w:szCs w:val="24"/>
          <w:lang w:eastAsia="en-CA"/>
          <w14:ligatures w14:val="none"/>
        </w:rPr>
        <w:t xml:space="preserve"> RTT </w:t>
      </w:r>
      <w:r>
        <w:rPr>
          <w:rFonts w:eastAsia="Times New Roman" w:cs="Times New Roman"/>
          <w:kern w:val="0"/>
          <w:szCs w:val="24"/>
          <w:lang w:eastAsia="en-CA"/>
          <w14:ligatures w14:val="none"/>
        </w:rPr>
        <w:t>pathology</w:t>
      </w:r>
      <w:r w:rsidRPr="00276DFA">
        <w:rPr>
          <w:rFonts w:eastAsia="Times New Roman" w:cs="Times New Roman"/>
          <w:kern w:val="0"/>
          <w:szCs w:val="24"/>
          <w:lang w:eastAsia="en-CA"/>
          <w14:ligatures w14:val="none"/>
        </w:rPr>
        <w:t>. Treatment of small molecules (SM) targeted to mutations can stabilize proteins in cells</w:t>
      </w:r>
      <w:r>
        <w:rPr>
          <w:rFonts w:eastAsia="Times New Roman" w:cs="Times New Roman"/>
          <w:kern w:val="0"/>
          <w:szCs w:val="24"/>
          <w:vertAlign w:val="superscript"/>
          <w:lang w:eastAsia="en-CA"/>
          <w14:ligatures w14:val="none"/>
        </w:rPr>
        <w:t>3</w:t>
      </w:r>
      <w:r w:rsidRPr="00276DFA">
        <w:rPr>
          <w:rFonts w:eastAsia="Times New Roman" w:cs="Times New Roman"/>
          <w:kern w:val="0"/>
          <w:szCs w:val="24"/>
          <w:lang w:eastAsia="en-CA"/>
          <w14:ligatures w14:val="none"/>
        </w:rPr>
        <w:t xml:space="preserve">, and a neuroprotective peptide-based therapy </w:t>
      </w:r>
      <w:r>
        <w:rPr>
          <w:rFonts w:eastAsia="Times New Roman" w:cs="Times New Roman"/>
          <w:kern w:val="0"/>
          <w:szCs w:val="24"/>
          <w:lang w:eastAsia="en-CA"/>
          <w14:ligatures w14:val="none"/>
        </w:rPr>
        <w:t>is currently under review by the</w:t>
      </w:r>
      <w:r w:rsidRPr="00276DFA">
        <w:rPr>
          <w:rFonts w:eastAsia="Times New Roman" w:cs="Times New Roman"/>
          <w:kern w:val="0"/>
          <w:szCs w:val="24"/>
          <w:lang w:eastAsia="en-CA"/>
          <w14:ligatures w14:val="none"/>
        </w:rPr>
        <w:t xml:space="preserve"> </w:t>
      </w:r>
      <w:r>
        <w:rPr>
          <w:rFonts w:eastAsia="Times New Roman" w:cs="Times New Roman"/>
          <w:kern w:val="0"/>
          <w:szCs w:val="24"/>
          <w:lang w:eastAsia="en-CA"/>
          <w14:ligatures w14:val="none"/>
        </w:rPr>
        <w:t>Canadian Drug Agency</w:t>
      </w:r>
      <w:r w:rsidRPr="00276DFA">
        <w:rPr>
          <w:rFonts w:eastAsia="Times New Roman" w:cs="Times New Roman"/>
          <w:kern w:val="0"/>
          <w:szCs w:val="24"/>
          <w:lang w:eastAsia="en-CA"/>
          <w14:ligatures w14:val="none"/>
        </w:rPr>
        <w:t xml:space="preserve"> for treatment of Rett syndrome symptoms</w:t>
      </w:r>
      <w:r w:rsidR="00DF6995">
        <w:rPr>
          <w:rFonts w:eastAsia="Times New Roman" w:cs="Times New Roman"/>
          <w:kern w:val="0"/>
          <w:szCs w:val="24"/>
          <w:vertAlign w:val="superscript"/>
          <w:lang w:eastAsia="en-CA"/>
          <w14:ligatures w14:val="none"/>
        </w:rPr>
        <w:t>5</w:t>
      </w:r>
      <w:r w:rsidRPr="00276DFA">
        <w:rPr>
          <w:rFonts w:eastAsia="Times New Roman" w:cs="Times New Roman"/>
          <w:kern w:val="0"/>
          <w:szCs w:val="24"/>
          <w:lang w:eastAsia="en-CA"/>
          <w14:ligatures w14:val="none"/>
        </w:rPr>
        <w:t>; hence, these molecules show promise for</w:t>
      </w:r>
      <w:r w:rsidR="002621D6">
        <w:rPr>
          <w:rFonts w:eastAsia="Times New Roman" w:cs="Times New Roman"/>
          <w:kern w:val="0"/>
          <w:szCs w:val="24"/>
          <w:lang w:eastAsia="en-CA"/>
          <w14:ligatures w14:val="none"/>
        </w:rPr>
        <w:t xml:space="preserve"> the treatment of patients with</w:t>
      </w:r>
      <w:r>
        <w:rPr>
          <w:rFonts w:eastAsia="Times New Roman" w:cs="Times New Roman"/>
          <w:kern w:val="0"/>
          <w:szCs w:val="24"/>
          <w:lang w:eastAsia="en-CA"/>
          <w14:ligatures w14:val="none"/>
        </w:rPr>
        <w:t xml:space="preserve"> destabilizing</w:t>
      </w:r>
      <w:r w:rsidRPr="00276DFA">
        <w:rPr>
          <w:rFonts w:eastAsia="Times New Roman" w:cs="Times New Roman"/>
          <w:kern w:val="0"/>
          <w:szCs w:val="24"/>
          <w:lang w:eastAsia="en-CA"/>
          <w14:ligatures w14:val="none"/>
        </w:rPr>
        <w:t xml:space="preserve"> MeCP2 mutations.  </w:t>
      </w:r>
    </w:p>
    <w:p w14:paraId="6056A9EB" w14:textId="408531E6" w:rsidR="003E5BFB" w:rsidRDefault="00917F5F" w:rsidP="003E5BFB">
      <w:pPr>
        <w:textAlignment w:val="baseline"/>
        <w:rPr>
          <w:rFonts w:eastAsia="Times New Roman" w:cs="Times New Roman"/>
          <w:kern w:val="0"/>
          <w:szCs w:val="24"/>
          <w:lang w:eastAsia="en-CA"/>
          <w14:ligatures w14:val="none"/>
        </w:rPr>
      </w:pPr>
      <w:r w:rsidRPr="00276DFA">
        <w:rPr>
          <w:rFonts w:eastAsia="Times New Roman" w:cs="Times New Roman"/>
          <w:kern w:val="0"/>
          <w:szCs w:val="24"/>
          <w:lang w:eastAsia="en-CA"/>
          <w14:ligatures w14:val="none"/>
        </w:rPr>
        <w:t>The</w:t>
      </w:r>
      <w:r w:rsidR="003E5BFB">
        <w:rPr>
          <w:rFonts w:eastAsia="Times New Roman" w:cs="Times New Roman"/>
          <w:kern w:val="0"/>
          <w:szCs w:val="24"/>
          <w:lang w:eastAsia="en-CA"/>
          <w14:ligatures w14:val="none"/>
        </w:rPr>
        <w:t xml:space="preserve"> current </w:t>
      </w:r>
      <w:r w:rsidR="002621D6">
        <w:rPr>
          <w:rFonts w:eastAsia="Times New Roman" w:cs="Times New Roman"/>
          <w:kern w:val="0"/>
          <w:szCs w:val="24"/>
          <w:lang w:eastAsia="en-CA"/>
          <w14:ligatures w14:val="none"/>
        </w:rPr>
        <w:t>MeCP2</w:t>
      </w:r>
      <w:r w:rsidR="00F0451E">
        <w:rPr>
          <w:rFonts w:eastAsia="Times New Roman" w:cs="Times New Roman"/>
          <w:kern w:val="0"/>
          <w:szCs w:val="24"/>
          <w:lang w:eastAsia="en-CA"/>
          <w14:ligatures w14:val="none"/>
        </w:rPr>
        <w:t>/ RTT</w:t>
      </w:r>
      <w:r w:rsidR="002621D6">
        <w:rPr>
          <w:rFonts w:eastAsia="Times New Roman" w:cs="Times New Roman"/>
          <w:kern w:val="0"/>
          <w:szCs w:val="24"/>
          <w:lang w:eastAsia="en-CA"/>
          <w14:ligatures w14:val="none"/>
        </w:rPr>
        <w:t xml:space="preserve"> research </w:t>
      </w:r>
      <w:r w:rsidR="003E5BFB">
        <w:rPr>
          <w:rFonts w:eastAsia="Times New Roman" w:cs="Times New Roman"/>
          <w:kern w:val="0"/>
          <w:szCs w:val="24"/>
          <w:lang w:eastAsia="en-CA"/>
          <w14:ligatures w14:val="none"/>
        </w:rPr>
        <w:t xml:space="preserve">focus in the </w:t>
      </w:r>
      <w:proofErr w:type="spellStart"/>
      <w:r w:rsidR="003E5BFB">
        <w:rPr>
          <w:rFonts w:eastAsia="Times New Roman" w:cs="Times New Roman"/>
          <w:kern w:val="0"/>
          <w:szCs w:val="24"/>
          <w:lang w:eastAsia="en-CA"/>
          <w14:ligatures w14:val="none"/>
        </w:rPr>
        <w:t>MiND</w:t>
      </w:r>
      <w:proofErr w:type="spellEnd"/>
      <w:r w:rsidR="003E5BFB">
        <w:rPr>
          <w:rFonts w:eastAsia="Times New Roman" w:cs="Times New Roman"/>
          <w:kern w:val="0"/>
          <w:szCs w:val="24"/>
          <w:lang w:eastAsia="en-CA"/>
          <w14:ligatures w14:val="none"/>
        </w:rPr>
        <w:t xml:space="preserve"> lab is </w:t>
      </w:r>
      <w:r w:rsidR="00F0451E">
        <w:rPr>
          <w:rFonts w:eastAsia="Times New Roman" w:cs="Times New Roman"/>
          <w:kern w:val="0"/>
          <w:szCs w:val="24"/>
          <w:lang w:eastAsia="en-CA"/>
          <w14:ligatures w14:val="none"/>
        </w:rPr>
        <w:t>to use c</w:t>
      </w:r>
      <w:r w:rsidR="003E5BFB">
        <w:rPr>
          <w:rFonts w:eastAsia="Times New Roman" w:cs="Times New Roman"/>
          <w:kern w:val="0"/>
          <w:szCs w:val="24"/>
          <w:lang w:eastAsia="en-CA"/>
          <w14:ligatures w14:val="none"/>
        </w:rPr>
        <w:t xml:space="preserve">ellular and </w:t>
      </w:r>
      <w:r w:rsidR="003E5BFB">
        <w:rPr>
          <w:rFonts w:eastAsia="Times New Roman" w:cs="Times New Roman"/>
          <w:kern w:val="0"/>
          <w:szCs w:val="24"/>
          <w:lang w:eastAsia="en-CA"/>
          <w14:ligatures w14:val="none"/>
        </w:rPr>
        <w:softHyphen/>
      </w:r>
      <w:r w:rsidR="003E5BFB">
        <w:rPr>
          <w:rFonts w:eastAsia="Times New Roman" w:cs="Times New Roman"/>
          <w:i/>
          <w:iCs/>
          <w:kern w:val="0"/>
          <w:szCs w:val="24"/>
          <w:lang w:eastAsia="en-CA"/>
          <w14:ligatures w14:val="none"/>
        </w:rPr>
        <w:t>in vitro</w:t>
      </w:r>
      <w:r w:rsidR="003E5BFB">
        <w:rPr>
          <w:rFonts w:eastAsia="Times New Roman" w:cs="Times New Roman"/>
          <w:kern w:val="0"/>
          <w:szCs w:val="24"/>
          <w:lang w:eastAsia="en-CA"/>
          <w14:ligatures w14:val="none"/>
        </w:rPr>
        <w:t xml:space="preserve"> </w:t>
      </w:r>
      <w:r w:rsidR="002621D6">
        <w:rPr>
          <w:rFonts w:eastAsia="Times New Roman" w:cs="Times New Roman"/>
          <w:kern w:val="0"/>
          <w:szCs w:val="24"/>
          <w:lang w:eastAsia="en-CA"/>
          <w14:ligatures w14:val="none"/>
        </w:rPr>
        <w:t>methodologies to</w:t>
      </w:r>
      <w:r w:rsidR="003E5BFB">
        <w:rPr>
          <w:rFonts w:eastAsia="Times New Roman" w:cs="Times New Roman"/>
          <w:kern w:val="0"/>
          <w:szCs w:val="24"/>
          <w:lang w:eastAsia="en-CA"/>
          <w14:ligatures w14:val="none"/>
        </w:rPr>
        <w:t xml:space="preserve"> identify and </w:t>
      </w:r>
      <w:r w:rsidR="002621D6">
        <w:rPr>
          <w:rFonts w:eastAsia="Times New Roman" w:cs="Times New Roman"/>
          <w:kern w:val="0"/>
          <w:szCs w:val="24"/>
          <w:lang w:eastAsia="en-CA"/>
          <w14:ligatures w14:val="none"/>
        </w:rPr>
        <w:t xml:space="preserve">functionally </w:t>
      </w:r>
      <w:r w:rsidR="003E5BFB">
        <w:rPr>
          <w:rFonts w:eastAsia="Times New Roman" w:cs="Times New Roman"/>
          <w:kern w:val="0"/>
          <w:szCs w:val="24"/>
          <w:lang w:eastAsia="en-CA"/>
          <w14:ligatures w14:val="none"/>
        </w:rPr>
        <w:t xml:space="preserve">validate </w:t>
      </w:r>
      <w:r w:rsidRPr="00276DFA">
        <w:rPr>
          <w:rFonts w:eastAsia="Times New Roman" w:cs="Times New Roman"/>
          <w:kern w:val="0"/>
          <w:szCs w:val="24"/>
          <w:lang w:eastAsia="en-CA"/>
          <w14:ligatures w14:val="none"/>
        </w:rPr>
        <w:t xml:space="preserve">SMs and peptides that </w:t>
      </w:r>
      <w:r w:rsidR="003E5BFB" w:rsidRPr="00276DFA">
        <w:rPr>
          <w:rFonts w:eastAsia="Times New Roman" w:cs="Times New Roman"/>
          <w:kern w:val="0"/>
          <w:szCs w:val="24"/>
          <w:lang w:eastAsia="en-CA"/>
          <w14:ligatures w14:val="none"/>
        </w:rPr>
        <w:t>increase</w:t>
      </w:r>
      <w:r w:rsidRPr="00276DFA">
        <w:rPr>
          <w:rFonts w:eastAsia="Times New Roman" w:cs="Times New Roman"/>
          <w:kern w:val="0"/>
          <w:szCs w:val="24"/>
          <w:lang w:eastAsia="en-CA"/>
          <w14:ligatures w14:val="none"/>
        </w:rPr>
        <w:t xml:space="preserve"> the </w:t>
      </w:r>
      <w:r w:rsidR="002621D6">
        <w:rPr>
          <w:rFonts w:eastAsia="Times New Roman" w:cs="Times New Roman"/>
          <w:kern w:val="0"/>
          <w:szCs w:val="24"/>
          <w:lang w:eastAsia="en-CA"/>
          <w14:ligatures w14:val="none"/>
        </w:rPr>
        <w:t>stability</w:t>
      </w:r>
      <w:r w:rsidRPr="00276DFA">
        <w:rPr>
          <w:rFonts w:eastAsia="Times New Roman" w:cs="Times New Roman"/>
          <w:kern w:val="0"/>
          <w:szCs w:val="24"/>
          <w:lang w:eastAsia="en-CA"/>
          <w14:ligatures w14:val="none"/>
        </w:rPr>
        <w:t xml:space="preserve"> </w:t>
      </w:r>
      <w:r>
        <w:rPr>
          <w:rFonts w:eastAsia="Times New Roman" w:cs="Times New Roman"/>
          <w:kern w:val="0"/>
          <w:szCs w:val="24"/>
          <w:lang w:eastAsia="en-CA"/>
          <w14:ligatures w14:val="none"/>
        </w:rPr>
        <w:t>(</w:t>
      </w:r>
      <w:r w:rsidRPr="00276DFA">
        <w:rPr>
          <w:rFonts w:eastAsia="Times New Roman" w:cs="Times New Roman"/>
          <w:kern w:val="0"/>
          <w:szCs w:val="24"/>
          <w:lang w:eastAsia="en-CA"/>
          <w14:ligatures w14:val="none"/>
        </w:rPr>
        <w:t xml:space="preserve">i.e., the </w:t>
      </w:r>
      <w:r w:rsidR="002621D6">
        <w:rPr>
          <w:rFonts w:eastAsia="Times New Roman" w:cs="Times New Roman"/>
          <w:kern w:val="0"/>
          <w:szCs w:val="24"/>
          <w:lang w:eastAsia="en-CA"/>
          <w14:ligatures w14:val="none"/>
        </w:rPr>
        <w:t>abundance)</w:t>
      </w:r>
      <w:r>
        <w:rPr>
          <w:rFonts w:eastAsia="Times New Roman" w:cs="Times New Roman"/>
          <w:kern w:val="0"/>
          <w:szCs w:val="24"/>
          <w:lang w:eastAsia="en-CA"/>
          <w14:ligatures w14:val="none"/>
        </w:rPr>
        <w:t xml:space="preserve"> </w:t>
      </w:r>
      <w:r w:rsidRPr="00276DFA">
        <w:rPr>
          <w:rFonts w:eastAsia="Times New Roman" w:cs="Times New Roman"/>
          <w:kern w:val="0"/>
          <w:szCs w:val="24"/>
          <w:lang w:eastAsia="en-CA"/>
          <w14:ligatures w14:val="none"/>
        </w:rPr>
        <w:t>of</w:t>
      </w:r>
      <w:r w:rsidR="002621D6">
        <w:rPr>
          <w:rFonts w:eastAsia="Times New Roman" w:cs="Times New Roman"/>
          <w:kern w:val="0"/>
          <w:szCs w:val="24"/>
          <w:lang w:eastAsia="en-CA"/>
          <w14:ligatures w14:val="none"/>
        </w:rPr>
        <w:t xml:space="preserve"> MeCP2 harboring </w:t>
      </w:r>
      <w:r w:rsidR="003E5BFB">
        <w:rPr>
          <w:rFonts w:eastAsia="Times New Roman" w:cs="Times New Roman"/>
          <w:kern w:val="0"/>
          <w:szCs w:val="24"/>
          <w:lang w:eastAsia="en-CA"/>
          <w14:ligatures w14:val="none"/>
        </w:rPr>
        <w:t>Rett-syndrome causing</w:t>
      </w:r>
      <w:r w:rsidRPr="00276DFA">
        <w:rPr>
          <w:rFonts w:eastAsia="Times New Roman" w:cs="Times New Roman"/>
          <w:kern w:val="0"/>
          <w:szCs w:val="24"/>
          <w:lang w:eastAsia="en-CA"/>
          <w14:ligatures w14:val="none"/>
        </w:rPr>
        <w:t xml:space="preserve"> </w:t>
      </w:r>
      <w:r w:rsidR="004F14E2">
        <w:rPr>
          <w:rFonts w:eastAsia="Times New Roman" w:cs="Times New Roman"/>
          <w:kern w:val="0"/>
          <w:szCs w:val="24"/>
          <w:lang w:eastAsia="en-CA"/>
          <w14:ligatures w14:val="none"/>
        </w:rPr>
        <w:t>mutations</w:t>
      </w:r>
      <w:r w:rsidRPr="00276DFA">
        <w:rPr>
          <w:rFonts w:eastAsia="Times New Roman" w:cs="Times New Roman"/>
          <w:kern w:val="0"/>
          <w:szCs w:val="24"/>
          <w:lang w:eastAsia="en-CA"/>
          <w14:ligatures w14:val="none"/>
        </w:rPr>
        <w:t xml:space="preserve"> </w:t>
      </w:r>
      <w:r w:rsidR="003E5BFB">
        <w:rPr>
          <w:rFonts w:eastAsia="Times New Roman" w:cs="Times New Roman"/>
          <w:kern w:val="0"/>
          <w:szCs w:val="24"/>
          <w:lang w:eastAsia="en-CA"/>
          <w14:ligatures w14:val="none"/>
        </w:rPr>
        <w:t xml:space="preserve">as </w:t>
      </w:r>
      <w:r w:rsidR="003E5BFB" w:rsidRPr="00276DFA">
        <w:rPr>
          <w:rFonts w:eastAsia="Times New Roman" w:cs="Times New Roman"/>
          <w:kern w:val="0"/>
          <w:szCs w:val="24"/>
          <w:lang w:eastAsia="en-CA"/>
          <w14:ligatures w14:val="none"/>
        </w:rPr>
        <w:t>well as ASD, Asperger</w:t>
      </w:r>
      <w:r w:rsidR="00F0451E">
        <w:rPr>
          <w:rFonts w:eastAsia="Times New Roman" w:cs="Times New Roman"/>
          <w:kern w:val="0"/>
          <w:szCs w:val="24"/>
          <w:lang w:eastAsia="en-CA"/>
          <w14:ligatures w14:val="none"/>
        </w:rPr>
        <w:t>’s</w:t>
      </w:r>
      <w:r w:rsidR="003E5BFB" w:rsidRPr="00276DFA">
        <w:rPr>
          <w:rFonts w:eastAsia="Times New Roman" w:cs="Times New Roman"/>
          <w:kern w:val="0"/>
          <w:szCs w:val="24"/>
          <w:lang w:eastAsia="en-CA"/>
          <w14:ligatures w14:val="none"/>
        </w:rPr>
        <w:t>, SCZ, and ID-associated MeCP2 muta</w:t>
      </w:r>
      <w:r w:rsidR="004F14E2">
        <w:rPr>
          <w:rFonts w:eastAsia="Times New Roman" w:cs="Times New Roman"/>
          <w:kern w:val="0"/>
          <w:szCs w:val="24"/>
          <w:lang w:eastAsia="en-CA"/>
          <w14:ligatures w14:val="none"/>
        </w:rPr>
        <w:t>tions</w:t>
      </w:r>
      <w:r w:rsidR="003E5BFB">
        <w:rPr>
          <w:rFonts w:eastAsia="Times New Roman" w:cs="Times New Roman"/>
          <w:kern w:val="0"/>
          <w:szCs w:val="24"/>
          <w:lang w:eastAsia="en-CA"/>
          <w14:ligatures w14:val="none"/>
        </w:rPr>
        <w:t xml:space="preserve">. </w:t>
      </w:r>
      <w:r w:rsidR="00F0451E" w:rsidRPr="00276DFA">
        <w:rPr>
          <w:rFonts w:eastAsia="Times New Roman" w:cs="Times New Roman"/>
          <w:kern w:val="0"/>
          <w:szCs w:val="24"/>
          <w:lang w:eastAsia="en-CA"/>
          <w14:ligatures w14:val="none"/>
        </w:rPr>
        <w:t>T</w:t>
      </w:r>
      <w:r w:rsidR="00F0451E">
        <w:rPr>
          <w:rFonts w:eastAsia="Times New Roman" w:cs="Times New Roman"/>
          <w:kern w:val="0"/>
          <w:szCs w:val="24"/>
          <w:lang w:eastAsia="en-CA"/>
          <w14:ligatures w14:val="none"/>
        </w:rPr>
        <w:t>his work</w:t>
      </w:r>
      <w:r w:rsidR="00F0451E" w:rsidRPr="00276DFA">
        <w:rPr>
          <w:rFonts w:eastAsia="Times New Roman" w:cs="Times New Roman"/>
          <w:kern w:val="0"/>
          <w:szCs w:val="24"/>
          <w:lang w:eastAsia="en-CA"/>
          <w14:ligatures w14:val="none"/>
        </w:rPr>
        <w:t xml:space="preserve"> is thus foundational to the Vincent lab’s large undertaking to generate targeted therapies directed towards the numerous pathologies caused by specific MeCP2 mutations</w:t>
      </w:r>
      <w:r w:rsidR="00F0451E">
        <w:rPr>
          <w:rFonts w:eastAsia="Times New Roman" w:cs="Times New Roman"/>
          <w:kern w:val="0"/>
          <w:szCs w:val="24"/>
          <w:lang w:eastAsia="en-CA"/>
          <w14:ligatures w14:val="none"/>
        </w:rPr>
        <w:t>.</w:t>
      </w:r>
    </w:p>
    <w:p w14:paraId="391EBB1C" w14:textId="587E36CC" w:rsidR="002621D6" w:rsidRDefault="002621D6" w:rsidP="002621D6">
      <w:pPr>
        <w:rPr>
          <w:rFonts w:eastAsia="Times New Roman" w:cs="Times New Roman"/>
          <w:kern w:val="0"/>
          <w:szCs w:val="24"/>
          <w:lang w:eastAsia="en-CA"/>
          <w14:ligatures w14:val="none"/>
        </w:rPr>
      </w:pPr>
      <w:r w:rsidRPr="00276DFA">
        <w:rPr>
          <w:rFonts w:eastAsia="Times New Roman" w:cs="Times New Roman"/>
          <w:kern w:val="0"/>
          <w:szCs w:val="24"/>
          <w:lang w:eastAsia="en-CA"/>
          <w14:ligatures w14:val="none"/>
        </w:rPr>
        <w:t xml:space="preserve">There are currently no treatments for RTT and other MeCP2-related disorders that target the root cause of the issue (i.e., MeCP2 itself). </w:t>
      </w:r>
      <w:r>
        <w:rPr>
          <w:rFonts w:eastAsia="Times New Roman" w:cs="Times New Roman"/>
          <w:kern w:val="0"/>
          <w:szCs w:val="24"/>
          <w:lang w:eastAsia="en-CA"/>
          <w14:ligatures w14:val="none"/>
        </w:rPr>
        <w:t xml:space="preserve">The </w:t>
      </w:r>
      <w:proofErr w:type="spellStart"/>
      <w:r>
        <w:rPr>
          <w:rFonts w:eastAsia="Times New Roman" w:cs="Times New Roman"/>
          <w:kern w:val="0"/>
          <w:szCs w:val="24"/>
          <w:lang w:eastAsia="en-CA"/>
          <w14:ligatures w14:val="none"/>
        </w:rPr>
        <w:t>MiND</w:t>
      </w:r>
      <w:proofErr w:type="spellEnd"/>
      <w:r>
        <w:rPr>
          <w:rFonts w:eastAsia="Times New Roman" w:cs="Times New Roman"/>
          <w:kern w:val="0"/>
          <w:szCs w:val="24"/>
          <w:lang w:eastAsia="en-CA"/>
          <w14:ligatures w14:val="none"/>
        </w:rPr>
        <w:t xml:space="preserve"> lab</w:t>
      </w:r>
      <w:r w:rsidRPr="00276DFA">
        <w:rPr>
          <w:rFonts w:eastAsia="Times New Roman" w:cs="Times New Roman"/>
          <w:kern w:val="0"/>
          <w:szCs w:val="24"/>
          <w:lang w:eastAsia="en-CA"/>
          <w14:ligatures w14:val="none"/>
        </w:rPr>
        <w:t xml:space="preserve"> aims to bridge this gap in available treatments, which could singularly improve the myriad phenotypes caused by mutant MeCP2. </w:t>
      </w:r>
    </w:p>
    <w:p w14:paraId="6B887B13" w14:textId="71576884" w:rsidR="007E6FF3" w:rsidRDefault="00432385" w:rsidP="00432385">
      <w:pPr>
        <w:jc w:val="center"/>
        <w:rPr>
          <w:rFonts w:eastAsia="Times New Roman" w:cs="Times New Roman"/>
          <w:kern w:val="0"/>
          <w:szCs w:val="24"/>
          <w:lang w:eastAsia="en-CA"/>
          <w14:ligatures w14:val="none"/>
        </w:rPr>
      </w:pPr>
      <w:r>
        <w:rPr>
          <w:rFonts w:eastAsia="Times New Roman" w:cs="Times New Roman"/>
          <w:noProof/>
          <w:kern w:val="0"/>
          <w:szCs w:val="24"/>
          <w:lang w:eastAsia="en-CA"/>
          <w14:ligatures w14:val="none"/>
        </w:rPr>
        <w:drawing>
          <wp:inline distT="0" distB="0" distL="0" distR="0" wp14:anchorId="255ECCC2" wp14:editId="4D810E64">
            <wp:extent cx="4784725" cy="2790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400" t="2847" r="15003" b="13522"/>
                    <a:stretch/>
                  </pic:blipFill>
                  <pic:spPr bwMode="auto">
                    <a:xfrm>
                      <a:off x="0" y="0"/>
                      <a:ext cx="4785730" cy="2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81CD0A0" w14:textId="62E1C6D8" w:rsidR="00432385" w:rsidRPr="00432385" w:rsidRDefault="00432385" w:rsidP="00432385">
      <w:pPr>
        <w:jc w:val="center"/>
        <w:rPr>
          <w:rFonts w:eastAsia="Times New Roman" w:cs="Times New Roman"/>
          <w:kern w:val="0"/>
          <w:sz w:val="18"/>
          <w:szCs w:val="20"/>
          <w:lang w:eastAsia="en-CA"/>
          <w14:ligatures w14:val="none"/>
        </w:rPr>
      </w:pPr>
      <w:r>
        <w:rPr>
          <w:rFonts w:eastAsia="Times New Roman" w:cs="Times New Roman"/>
          <w:kern w:val="0"/>
          <w:sz w:val="18"/>
          <w:szCs w:val="20"/>
          <w:lang w:eastAsia="en-CA"/>
          <w14:ligatures w14:val="none"/>
        </w:rPr>
        <w:t xml:space="preserve">MeCP2 clustering with DNA in cells can be used to assay protein dysfunction. A) Two common RTT-causing mutations under study in the </w:t>
      </w:r>
      <w:proofErr w:type="spellStart"/>
      <w:r>
        <w:rPr>
          <w:rFonts w:eastAsia="Times New Roman" w:cs="Times New Roman"/>
          <w:kern w:val="0"/>
          <w:sz w:val="18"/>
          <w:szCs w:val="20"/>
          <w:lang w:eastAsia="en-CA"/>
          <w14:ligatures w14:val="none"/>
        </w:rPr>
        <w:t>MiND</w:t>
      </w:r>
      <w:proofErr w:type="spellEnd"/>
      <w:r>
        <w:rPr>
          <w:rFonts w:eastAsia="Times New Roman" w:cs="Times New Roman"/>
          <w:kern w:val="0"/>
          <w:sz w:val="18"/>
          <w:szCs w:val="20"/>
          <w:lang w:eastAsia="en-CA"/>
          <w14:ligatures w14:val="none"/>
        </w:rPr>
        <w:t xml:space="preserve"> lab show differential clustering in nuclei to the healthy WT protein. Rescue of MeCP2-DNA clustering can be used to test treatment efficacy. Adapted from Sheikh et al., 201</w:t>
      </w:r>
      <w:r w:rsidR="00341C6C">
        <w:rPr>
          <w:rFonts w:eastAsia="Times New Roman" w:cs="Times New Roman"/>
          <w:kern w:val="0"/>
          <w:sz w:val="18"/>
          <w:szCs w:val="20"/>
          <w:lang w:eastAsia="en-CA"/>
          <w14:ligatures w14:val="none"/>
        </w:rPr>
        <w:t>6</w:t>
      </w:r>
      <w:r>
        <w:rPr>
          <w:rFonts w:eastAsia="Times New Roman" w:cs="Times New Roman"/>
          <w:kern w:val="0"/>
          <w:sz w:val="18"/>
          <w:szCs w:val="20"/>
          <w:lang w:eastAsia="en-CA"/>
          <w14:ligatures w14:val="none"/>
        </w:rPr>
        <w:t xml:space="preserve">.  B) Structural basis for different MeCP2 mutation severities. (Top) R111 makes several </w:t>
      </w:r>
      <w:r w:rsidR="00FB51AE">
        <w:rPr>
          <w:rFonts w:eastAsia="Times New Roman" w:cs="Times New Roman"/>
          <w:kern w:val="0"/>
          <w:sz w:val="18"/>
          <w:szCs w:val="20"/>
          <w:lang w:eastAsia="en-CA"/>
          <w14:ligatures w14:val="none"/>
        </w:rPr>
        <w:t>c</w:t>
      </w:r>
      <w:r>
        <w:rPr>
          <w:rFonts w:eastAsia="Times New Roman" w:cs="Times New Roman"/>
          <w:kern w:val="0"/>
          <w:sz w:val="18"/>
          <w:szCs w:val="20"/>
          <w:lang w:eastAsia="en-CA"/>
          <w14:ligatures w14:val="none"/>
        </w:rPr>
        <w:t>ontacts with methylated DNA</w:t>
      </w:r>
      <w:r w:rsidR="00FB51AE">
        <w:rPr>
          <w:rFonts w:eastAsia="Times New Roman" w:cs="Times New Roman"/>
          <w:kern w:val="0"/>
          <w:sz w:val="18"/>
          <w:szCs w:val="20"/>
          <w:lang w:eastAsia="en-CA"/>
          <w14:ligatures w14:val="none"/>
        </w:rPr>
        <w:t xml:space="preserve"> (indicated by dotted lines)</w:t>
      </w:r>
      <w:r>
        <w:rPr>
          <w:rFonts w:eastAsia="Times New Roman" w:cs="Times New Roman"/>
          <w:kern w:val="0"/>
          <w:sz w:val="18"/>
          <w:szCs w:val="20"/>
          <w:lang w:eastAsia="en-CA"/>
          <w14:ligatures w14:val="none"/>
        </w:rPr>
        <w:t xml:space="preserve">, whereas T158 is not as </w:t>
      </w:r>
      <w:r>
        <w:rPr>
          <w:rFonts w:eastAsia="Times New Roman" w:cs="Times New Roman"/>
          <w:kern w:val="0"/>
          <w:sz w:val="18"/>
          <w:szCs w:val="20"/>
          <w:lang w:eastAsia="en-CA"/>
          <w14:ligatures w14:val="none"/>
        </w:rPr>
        <w:lastRenderedPageBreak/>
        <w:t>strongly associated with DNA, but is important for the overall integrity of the Methyl DNA Binding Domain. (Bottom) At position 111, G</w:t>
      </w:r>
      <w:r w:rsidR="001678A8">
        <w:rPr>
          <w:rFonts w:eastAsia="Times New Roman" w:cs="Times New Roman"/>
          <w:kern w:val="0"/>
          <w:sz w:val="18"/>
          <w:szCs w:val="20"/>
          <w:lang w:eastAsia="en-CA"/>
          <w14:ligatures w14:val="none"/>
        </w:rPr>
        <w:t>lycine (G)</w:t>
      </w:r>
      <w:r>
        <w:rPr>
          <w:rFonts w:eastAsia="Times New Roman" w:cs="Times New Roman"/>
          <w:kern w:val="0"/>
          <w:sz w:val="18"/>
          <w:szCs w:val="20"/>
          <w:lang w:eastAsia="en-CA"/>
          <w14:ligatures w14:val="none"/>
        </w:rPr>
        <w:t xml:space="preserve"> is uncharged and smaller than </w:t>
      </w:r>
      <w:r w:rsidR="001678A8">
        <w:rPr>
          <w:rFonts w:eastAsia="Times New Roman" w:cs="Times New Roman"/>
          <w:kern w:val="0"/>
          <w:sz w:val="18"/>
          <w:szCs w:val="20"/>
          <w:lang w:eastAsia="en-CA"/>
          <w14:ligatures w14:val="none"/>
        </w:rPr>
        <w:t>Arginine (R)</w:t>
      </w:r>
      <w:r>
        <w:rPr>
          <w:rFonts w:eastAsia="Times New Roman" w:cs="Times New Roman"/>
          <w:kern w:val="0"/>
          <w:sz w:val="18"/>
          <w:szCs w:val="20"/>
          <w:lang w:eastAsia="en-CA"/>
          <w14:ligatures w14:val="none"/>
        </w:rPr>
        <w:t xml:space="preserve"> and is unable to</w:t>
      </w:r>
      <w:r w:rsidR="001678A8">
        <w:rPr>
          <w:rFonts w:eastAsia="Times New Roman" w:cs="Times New Roman"/>
          <w:kern w:val="0"/>
          <w:sz w:val="18"/>
          <w:szCs w:val="20"/>
          <w:lang w:eastAsia="en-CA"/>
          <w14:ligatures w14:val="none"/>
        </w:rPr>
        <w:t xml:space="preserve"> effectively interact with DNA. Methionine (M) is large and hydrophobic compared to Threonine (T), which may impede structure and ability to contact surrounding water molecules. Adapted from PDB: 3C2I. DNA molecule is in yellow and methylated cytosines in red. MeCP2 is in green and residues of interest are blue.</w:t>
      </w:r>
    </w:p>
    <w:p w14:paraId="3ED832CD" w14:textId="77777777" w:rsidR="007E6FF3" w:rsidRDefault="007E6FF3" w:rsidP="002621D6">
      <w:pPr>
        <w:rPr>
          <w:rFonts w:eastAsia="Times New Roman" w:cs="Times New Roman"/>
          <w:kern w:val="0"/>
          <w:szCs w:val="24"/>
          <w:lang w:eastAsia="en-CA"/>
          <w14:ligatures w14:val="none"/>
        </w:rPr>
      </w:pPr>
    </w:p>
    <w:p w14:paraId="1322CCFD" w14:textId="77777777" w:rsidR="002621D6" w:rsidRPr="00276DFA" w:rsidRDefault="002621D6" w:rsidP="003E5BFB">
      <w:pPr>
        <w:textAlignment w:val="baseline"/>
        <w:rPr>
          <w:rFonts w:eastAsia="Times New Roman" w:cs="Times New Roman"/>
          <w:kern w:val="0"/>
          <w:szCs w:val="24"/>
          <w:lang w:eastAsia="en-CA"/>
          <w14:ligatures w14:val="none"/>
        </w:rPr>
      </w:pPr>
    </w:p>
    <w:p w14:paraId="63AAA890" w14:textId="11CEE06B" w:rsidR="00917F5F" w:rsidRPr="003E2951" w:rsidRDefault="003E2951" w:rsidP="003E2951">
      <w:pPr>
        <w:rPr>
          <w:rFonts w:eastAsia="Times New Roman" w:cs="Times New Roman"/>
          <w:kern w:val="0"/>
          <w:szCs w:val="24"/>
          <w:u w:val="single"/>
          <w:lang w:eastAsia="en-CA"/>
          <w14:ligatures w14:val="none"/>
        </w:rPr>
      </w:pPr>
      <w:r>
        <w:rPr>
          <w:rFonts w:eastAsia="Times New Roman" w:cs="Times New Roman"/>
          <w:kern w:val="0"/>
          <w:szCs w:val="24"/>
          <w:u w:val="single"/>
          <w:lang w:eastAsia="en-CA"/>
          <w14:ligatures w14:val="none"/>
        </w:rPr>
        <w:t>References</w:t>
      </w:r>
    </w:p>
    <w:p w14:paraId="257EA81F" w14:textId="77777777" w:rsidR="00341C6C" w:rsidRDefault="00341C6C" w:rsidP="00DF6995">
      <w:pPr>
        <w:pStyle w:val="ListParagraph"/>
        <w:numPr>
          <w:ilvl w:val="0"/>
          <w:numId w:val="2"/>
        </w:numPr>
      </w:pPr>
      <w:proofErr w:type="spellStart"/>
      <w:r w:rsidRPr="00341C6C">
        <w:t>Mnatzakanian</w:t>
      </w:r>
      <w:proofErr w:type="spellEnd"/>
      <w:r w:rsidRPr="00341C6C">
        <w:t xml:space="preserve">, </w:t>
      </w:r>
      <w:proofErr w:type="spellStart"/>
      <w:r w:rsidRPr="00341C6C">
        <w:t>Gevork</w:t>
      </w:r>
      <w:proofErr w:type="spellEnd"/>
      <w:r w:rsidRPr="00341C6C">
        <w:t xml:space="preserve"> N., et al. "A previously unidentified MECP2 open reading frame defines a new protein isoform relevant to Rett syndrome." </w:t>
      </w:r>
      <w:r w:rsidRPr="00341C6C">
        <w:rPr>
          <w:i/>
          <w:iCs/>
        </w:rPr>
        <w:t>Nature genetics</w:t>
      </w:r>
      <w:r w:rsidRPr="00341C6C">
        <w:t> 36.4 (2004): 339-341.</w:t>
      </w:r>
    </w:p>
    <w:p w14:paraId="1FFFA549" w14:textId="77777777" w:rsidR="00341C6C" w:rsidRDefault="00341C6C" w:rsidP="00DF6995">
      <w:pPr>
        <w:pStyle w:val="ListParagraph"/>
        <w:numPr>
          <w:ilvl w:val="0"/>
          <w:numId w:val="2"/>
        </w:numPr>
      </w:pPr>
      <w:r w:rsidRPr="00341C6C">
        <w:t>Sheikh, Taimoor I., et al. "MeCP2_E1 N-terminal modifications affect its degradation rate and are disrupted by the Ala2Val Rett mutation." </w:t>
      </w:r>
      <w:r w:rsidRPr="00341C6C">
        <w:rPr>
          <w:i/>
          <w:iCs/>
        </w:rPr>
        <w:t>Human molecular genetics</w:t>
      </w:r>
      <w:r w:rsidRPr="00341C6C">
        <w:t> 26.21 (2017): 4132-4141.</w:t>
      </w:r>
    </w:p>
    <w:p w14:paraId="0793D5E9" w14:textId="77777777" w:rsidR="00341C6C" w:rsidRPr="00341C6C" w:rsidRDefault="00341C6C" w:rsidP="00DF6995">
      <w:pPr>
        <w:pStyle w:val="ListParagraph"/>
        <w:numPr>
          <w:ilvl w:val="0"/>
          <w:numId w:val="2"/>
        </w:numPr>
      </w:pPr>
      <w:r w:rsidRPr="00341C6C">
        <w:rPr>
          <w:rFonts w:eastAsia="Times New Roman" w:cs="Times New Roman"/>
          <w:kern w:val="0"/>
          <w:szCs w:val="24"/>
          <w:lang w:eastAsia="en-CA"/>
          <w14:ligatures w14:val="none"/>
        </w:rPr>
        <w:t>Sheikh, Taimoor I., et al. "From function to phenotype: impaired DNA binding and clustering correlates with clinical severity in males with missense mutations in MECP2." </w:t>
      </w:r>
      <w:r w:rsidRPr="00341C6C">
        <w:rPr>
          <w:rFonts w:eastAsia="Times New Roman" w:cs="Times New Roman"/>
          <w:i/>
          <w:iCs/>
          <w:kern w:val="0"/>
          <w:szCs w:val="24"/>
          <w:lang w:eastAsia="en-CA"/>
          <w14:ligatures w14:val="none"/>
        </w:rPr>
        <w:t>Scientific Reports</w:t>
      </w:r>
      <w:r w:rsidRPr="00341C6C">
        <w:rPr>
          <w:rFonts w:eastAsia="Times New Roman" w:cs="Times New Roman"/>
          <w:kern w:val="0"/>
          <w:szCs w:val="24"/>
          <w:lang w:eastAsia="en-CA"/>
          <w14:ligatures w14:val="none"/>
        </w:rPr>
        <w:t> 6.1 (2016): 38590.</w:t>
      </w:r>
    </w:p>
    <w:p w14:paraId="28702116" w14:textId="77777777" w:rsidR="00341C6C" w:rsidRPr="00341C6C" w:rsidRDefault="00341C6C" w:rsidP="00DF6995">
      <w:pPr>
        <w:pStyle w:val="ListParagraph"/>
        <w:numPr>
          <w:ilvl w:val="0"/>
          <w:numId w:val="2"/>
        </w:numPr>
      </w:pPr>
      <w:r w:rsidRPr="00341C6C">
        <w:rPr>
          <w:rFonts w:eastAsia="Times New Roman" w:cs="Times New Roman"/>
          <w:kern w:val="0"/>
          <w:szCs w:val="24"/>
          <w:lang w:eastAsia="en-CA"/>
          <w14:ligatures w14:val="none"/>
        </w:rPr>
        <w:t>Sheikh, Taimoor I., et al. "MeCP2 AT</w:t>
      </w:r>
      <w:r w:rsidRPr="00341C6C">
        <w:rPr>
          <w:rFonts w:ascii="Cambria Math" w:eastAsia="Times New Roman" w:hAnsi="Cambria Math" w:cs="Cambria Math"/>
          <w:kern w:val="0"/>
          <w:szCs w:val="24"/>
          <w:lang w:eastAsia="en-CA"/>
          <w14:ligatures w14:val="none"/>
        </w:rPr>
        <w:t>‐</w:t>
      </w:r>
      <w:r w:rsidRPr="00341C6C">
        <w:rPr>
          <w:rFonts w:eastAsia="Times New Roman" w:cs="Times New Roman"/>
          <w:kern w:val="0"/>
          <w:szCs w:val="24"/>
          <w:lang w:eastAsia="en-CA"/>
          <w14:ligatures w14:val="none"/>
        </w:rPr>
        <w:t>Hook1 mutations in patients with intellectual disability and/or schizophrenia disrupt DNA binding and chromatin compaction in vitro."</w:t>
      </w:r>
      <w:r w:rsidRPr="00341C6C">
        <w:rPr>
          <w:rFonts w:ascii="Aptos" w:eastAsia="Times New Roman" w:hAnsi="Aptos" w:cs="Aptos"/>
          <w:kern w:val="0"/>
          <w:szCs w:val="24"/>
          <w:lang w:eastAsia="en-CA"/>
          <w14:ligatures w14:val="none"/>
        </w:rPr>
        <w:t> </w:t>
      </w:r>
      <w:r w:rsidRPr="00341C6C">
        <w:rPr>
          <w:rFonts w:eastAsia="Times New Roman" w:cs="Times New Roman"/>
          <w:i/>
          <w:iCs/>
          <w:kern w:val="0"/>
          <w:szCs w:val="24"/>
          <w:lang w:eastAsia="en-CA"/>
          <w14:ligatures w14:val="none"/>
        </w:rPr>
        <w:t>Human mutation</w:t>
      </w:r>
      <w:r w:rsidRPr="00341C6C">
        <w:rPr>
          <w:rFonts w:eastAsia="Times New Roman" w:cs="Times New Roman"/>
          <w:kern w:val="0"/>
          <w:szCs w:val="24"/>
          <w:lang w:eastAsia="en-CA"/>
          <w14:ligatures w14:val="none"/>
        </w:rPr>
        <w:t> 39.5 (2018): 717-728.</w:t>
      </w:r>
    </w:p>
    <w:p w14:paraId="164EEF77" w14:textId="77777777" w:rsidR="00341C6C" w:rsidRPr="00341C6C" w:rsidRDefault="00341C6C" w:rsidP="00DF6995">
      <w:pPr>
        <w:pStyle w:val="ListParagraph"/>
        <w:numPr>
          <w:ilvl w:val="0"/>
          <w:numId w:val="2"/>
        </w:numPr>
      </w:pPr>
      <w:r w:rsidRPr="00341C6C">
        <w:rPr>
          <w:rFonts w:eastAsia="Times New Roman" w:cs="Times New Roman"/>
          <w:kern w:val="0"/>
          <w:szCs w:val="24"/>
          <w:lang w:eastAsia="en-CA"/>
          <w14:ligatures w14:val="none"/>
        </w:rPr>
        <w:t>Lamonica, Janine M., et al. "Elevating expression of MeCP2 T158M rescues DNA binding and Rett syndrome–like phenotypes." </w:t>
      </w:r>
      <w:r w:rsidRPr="00341C6C">
        <w:rPr>
          <w:rFonts w:eastAsia="Times New Roman" w:cs="Times New Roman"/>
          <w:i/>
          <w:iCs/>
          <w:kern w:val="0"/>
          <w:szCs w:val="24"/>
          <w:lang w:eastAsia="en-CA"/>
          <w14:ligatures w14:val="none"/>
        </w:rPr>
        <w:t>The Journal of clinical investigation</w:t>
      </w:r>
      <w:r w:rsidRPr="00341C6C">
        <w:rPr>
          <w:rFonts w:eastAsia="Times New Roman" w:cs="Times New Roman"/>
          <w:kern w:val="0"/>
          <w:szCs w:val="24"/>
          <w:lang w:eastAsia="en-CA"/>
          <w14:ligatures w14:val="none"/>
        </w:rPr>
        <w:t> 127.5 (2017): 1889-1904.</w:t>
      </w:r>
    </w:p>
    <w:p w14:paraId="21178369" w14:textId="7FD7D68E" w:rsidR="00DF6995" w:rsidRDefault="00DF6995" w:rsidP="00DF6995">
      <w:pPr>
        <w:pStyle w:val="ListParagraph"/>
        <w:numPr>
          <w:ilvl w:val="0"/>
          <w:numId w:val="2"/>
        </w:numPr>
      </w:pPr>
      <w:r w:rsidRPr="00A63AFD">
        <w:rPr>
          <w:rStyle w:val="doi"/>
          <w:rFonts w:cs="Times New Roman"/>
          <w:szCs w:val="24"/>
        </w:rPr>
        <w:t>https://rett.ca/cda-draft-recommendati</w:t>
      </w:r>
      <w:r>
        <w:rPr>
          <w:rStyle w:val="doi"/>
          <w:rFonts w:cs="Times New Roman"/>
          <w:szCs w:val="24"/>
        </w:rPr>
        <w:t>on</w:t>
      </w:r>
    </w:p>
    <w:sectPr w:rsidR="00DF6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157"/>
    <w:multiLevelType w:val="hybridMultilevel"/>
    <w:tmpl w:val="15DC0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9733C"/>
    <w:multiLevelType w:val="hybridMultilevel"/>
    <w:tmpl w:val="9592A5F6"/>
    <w:lvl w:ilvl="0" w:tplc="071AB7AA">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7269866">
    <w:abstractNumId w:val="1"/>
  </w:num>
  <w:num w:numId="2" w16cid:durableId="552886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F5F"/>
    <w:rsid w:val="000304F2"/>
    <w:rsid w:val="000C0299"/>
    <w:rsid w:val="00145D3F"/>
    <w:rsid w:val="001678A8"/>
    <w:rsid w:val="002606D0"/>
    <w:rsid w:val="002621D6"/>
    <w:rsid w:val="002905BC"/>
    <w:rsid w:val="002976DD"/>
    <w:rsid w:val="00341C6C"/>
    <w:rsid w:val="003E2951"/>
    <w:rsid w:val="003E5BFB"/>
    <w:rsid w:val="00432385"/>
    <w:rsid w:val="004F14E2"/>
    <w:rsid w:val="005570FC"/>
    <w:rsid w:val="00660DE4"/>
    <w:rsid w:val="006C384C"/>
    <w:rsid w:val="007742EC"/>
    <w:rsid w:val="00774774"/>
    <w:rsid w:val="007E6FF3"/>
    <w:rsid w:val="00912EC1"/>
    <w:rsid w:val="00917F5F"/>
    <w:rsid w:val="009D37C3"/>
    <w:rsid w:val="00A9531B"/>
    <w:rsid w:val="00C27207"/>
    <w:rsid w:val="00DF6995"/>
    <w:rsid w:val="00ED2369"/>
    <w:rsid w:val="00F0451E"/>
    <w:rsid w:val="00F2790B"/>
    <w:rsid w:val="00F407D7"/>
    <w:rsid w:val="00FB51AE"/>
    <w:rsid w:val="00FF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9CE41"/>
  <w15:chartTrackingRefBased/>
  <w15:docId w15:val="{4AC4C26F-40AF-47ED-9B85-C394AEE6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F5F"/>
    <w:rPr>
      <w:rFonts w:eastAsiaTheme="majorEastAsia" w:cstheme="majorBidi"/>
      <w:color w:val="272727" w:themeColor="text1" w:themeTint="D8"/>
    </w:rPr>
  </w:style>
  <w:style w:type="paragraph" w:styleId="Title">
    <w:name w:val="Title"/>
    <w:basedOn w:val="Normal"/>
    <w:next w:val="Normal"/>
    <w:link w:val="TitleChar"/>
    <w:uiPriority w:val="10"/>
    <w:qFormat/>
    <w:rsid w:val="0091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F5F"/>
    <w:pPr>
      <w:spacing w:before="160"/>
      <w:jc w:val="center"/>
    </w:pPr>
    <w:rPr>
      <w:i/>
      <w:iCs/>
      <w:color w:val="404040" w:themeColor="text1" w:themeTint="BF"/>
    </w:rPr>
  </w:style>
  <w:style w:type="character" w:customStyle="1" w:styleId="QuoteChar">
    <w:name w:val="Quote Char"/>
    <w:basedOn w:val="DefaultParagraphFont"/>
    <w:link w:val="Quote"/>
    <w:uiPriority w:val="29"/>
    <w:rsid w:val="00917F5F"/>
    <w:rPr>
      <w:i/>
      <w:iCs/>
      <w:color w:val="404040" w:themeColor="text1" w:themeTint="BF"/>
    </w:rPr>
  </w:style>
  <w:style w:type="paragraph" w:styleId="ListParagraph">
    <w:name w:val="List Paragraph"/>
    <w:basedOn w:val="Normal"/>
    <w:uiPriority w:val="34"/>
    <w:qFormat/>
    <w:rsid w:val="00917F5F"/>
    <w:pPr>
      <w:ind w:left="720"/>
      <w:contextualSpacing/>
    </w:pPr>
  </w:style>
  <w:style w:type="character" w:styleId="IntenseEmphasis">
    <w:name w:val="Intense Emphasis"/>
    <w:basedOn w:val="DefaultParagraphFont"/>
    <w:uiPriority w:val="21"/>
    <w:qFormat/>
    <w:rsid w:val="00917F5F"/>
    <w:rPr>
      <w:i/>
      <w:iCs/>
      <w:color w:val="0F4761" w:themeColor="accent1" w:themeShade="BF"/>
    </w:rPr>
  </w:style>
  <w:style w:type="paragraph" w:styleId="IntenseQuote">
    <w:name w:val="Intense Quote"/>
    <w:basedOn w:val="Normal"/>
    <w:next w:val="Normal"/>
    <w:link w:val="IntenseQuoteChar"/>
    <w:uiPriority w:val="30"/>
    <w:qFormat/>
    <w:rsid w:val="0091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F5F"/>
    <w:rPr>
      <w:i/>
      <w:iCs/>
      <w:color w:val="0F4761" w:themeColor="accent1" w:themeShade="BF"/>
    </w:rPr>
  </w:style>
  <w:style w:type="character" w:styleId="IntenseReference">
    <w:name w:val="Intense Reference"/>
    <w:basedOn w:val="DefaultParagraphFont"/>
    <w:uiPriority w:val="32"/>
    <w:qFormat/>
    <w:rsid w:val="00917F5F"/>
    <w:rPr>
      <w:b/>
      <w:bCs/>
      <w:smallCaps/>
      <w:color w:val="0F4761" w:themeColor="accent1" w:themeShade="BF"/>
      <w:spacing w:val="5"/>
    </w:rPr>
  </w:style>
  <w:style w:type="character" w:customStyle="1" w:styleId="doi">
    <w:name w:val="doi"/>
    <w:basedOn w:val="DefaultParagraphFont"/>
    <w:rsid w:val="00DF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429460">
      <w:bodyDiv w:val="1"/>
      <w:marLeft w:val="0"/>
      <w:marRight w:val="0"/>
      <w:marTop w:val="0"/>
      <w:marBottom w:val="0"/>
      <w:divBdr>
        <w:top w:val="none" w:sz="0" w:space="0" w:color="auto"/>
        <w:left w:val="none" w:sz="0" w:space="0" w:color="auto"/>
        <w:bottom w:val="none" w:sz="0" w:space="0" w:color="auto"/>
        <w:right w:val="none" w:sz="0" w:space="0" w:color="auto"/>
      </w:divBdr>
    </w:div>
    <w:div w:id="15454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Good</dc:creator>
  <cp:keywords/>
  <dc:description/>
  <cp:lastModifiedBy>Katrina Good</cp:lastModifiedBy>
  <cp:revision>8</cp:revision>
  <dcterms:created xsi:type="dcterms:W3CDTF">2025-11-06T20:43:00Z</dcterms:created>
  <dcterms:modified xsi:type="dcterms:W3CDTF">2025-12-03T16:49:00Z</dcterms:modified>
</cp:coreProperties>
</file>